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71B48" w:rsidRDefault="00796BCD" w:rsidP="002717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  <w:r w:rsidR="00BA0669" w:rsidRPr="00771B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2717E9" w:rsidRDefault="00F91959" w:rsidP="00796B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40961E" wp14:editId="66CBDA4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2717E9" w:rsidRPr="0027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27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96BCD" w:rsidRP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25F80" w:rsidP="00796B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муниципального образования </w:t>
            </w:r>
            <w:proofErr w:type="spellStart"/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 на 20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14" w:rsidRPr="00C700A6" w:rsidRDefault="0057491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D1" w:rsidRPr="00796BCD" w:rsidRDefault="00C700A6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A0669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F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BF3C9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F25F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F25F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A6321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5F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321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="004C00C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574914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 w:rsidR="00FF25F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205D23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proofErr w:type="spellStart"/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205D23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</w:t>
      </w:r>
      <w:r w:rsidR="00BA0669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BA0669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69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</w:t>
      </w:r>
      <w:proofErr w:type="spellStart"/>
      <w:r w:rsidR="00BF3C9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BF3C9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от </w:t>
      </w:r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2018 года №139, рассмотрев проект 202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публичных слушаниях, с учетом внесенных изменений и дополнений, Совет депутатов муниципального образования </w:t>
      </w:r>
      <w:proofErr w:type="spellStart"/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</w:t>
      </w:r>
      <w:r w:rsidR="00F37D05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914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452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40452" w:rsidRPr="006E4510" w:rsidRDefault="00F40452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собрания и реком</w:t>
      </w:r>
      <w:r w:rsidR="00574914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 публичных слушаний от 0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796BCD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бюджета муниципального образования </w:t>
      </w:r>
      <w:proofErr w:type="spellStart"/>
      <w:r w:rsidR="00C700A6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205D23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BA0669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D6A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6E4510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37D0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7D0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664 789,94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700A6" w:rsidRPr="006E4510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125 664 789,94 рублей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6E4510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</w:t>
      </w:r>
      <w:r w:rsidR="003B045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539EC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045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796BCD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верхний предел муниципального внутреннего долга, в </w:t>
      </w:r>
      <w:r w:rsidR="00BC26A6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 муниципальным гарантиям на 1 января 20</w:t>
      </w:r>
      <w:r w:rsidR="007D5339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F40452" w:rsidRPr="00796BCD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заимствования в 202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proofErr w:type="gramStart"/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периодов 202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7DC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6BCD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07DC" w:rsidRPr="0079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осуществляется.</w:t>
      </w:r>
    </w:p>
    <w:p w:rsidR="008E13FD" w:rsidRPr="001E3AA9" w:rsidRDefault="001B07D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FD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8E13FD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E13FD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</w:t>
      </w:r>
      <w:r w:rsidR="00052A41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="008E13FD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13FD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 w:rsidR="007E788A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3FD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6E4510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</w:t>
      </w:r>
      <w:r w:rsidR="007D5339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119 266 351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6843DA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</w:t>
      </w:r>
      <w:r w:rsidR="005734C3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118 825 410,97</w:t>
      </w:r>
      <w:r w:rsidR="006843DA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77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6E4510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E02677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119 266 351,67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504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4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02677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AA9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118 825 410,97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DA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77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07EC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04C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="008251F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04C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E13FD" w:rsidRPr="00583789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716C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89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02677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89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539EC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сумме 0,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39EC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02677"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583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6705E8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F1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6705E8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73A7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предусматриваются.</w:t>
      </w:r>
    </w:p>
    <w:p w:rsidR="00455EF1" w:rsidRPr="006705E8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EF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обслуживание муниципального внутреннего долга муниципального образования </w:t>
      </w:r>
      <w:proofErr w:type="spellStart"/>
      <w:r w:rsidR="00455EF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455EF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EF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6705E8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D2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425F80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6705E8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нормативы отчислений доходов в бюджет муниципального образования </w:t>
      </w:r>
      <w:proofErr w:type="spellStart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BA0669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6705E8" w:rsidRDefault="00F37D0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53F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поступление доходов в бюджет муниципального образования </w:t>
      </w:r>
      <w:proofErr w:type="spellStart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837F8" w:rsidRPr="006705E8" w:rsidRDefault="00F37D0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BA0669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700A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6705E8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7F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Оренбургского района Оренбургской области 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D0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837F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6705E8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9F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D0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796BCD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</w:t>
      </w:r>
      <w:r w:rsidR="00C837F8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нормативных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E6CB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доплат к пенсиям муниципальных служащих на 20</w:t>
      </w:r>
      <w:r w:rsidR="00BB6BA5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9FE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934BB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4BB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32 950</w:t>
      </w:r>
      <w:r w:rsidR="008934BB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76F6C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6705E8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="00BA0669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A0669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BA0669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48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86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A41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35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BB6BA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91716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9FE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225C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6A17" w:rsidRPr="006705E8" w:rsidRDefault="00FF25F0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043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1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объемы межбюджетных трансфертов: размеры субвенций и дотации, выделяемых из областного бюджета на 202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A1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A1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05E8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A17" w:rsidRPr="0067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FA6A17" w:rsidRPr="006E4510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202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5560</w:t>
      </w:r>
      <w:r w:rsidR="008934BB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рублей, на 202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57700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202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57700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FA6A17" w:rsidRPr="006E4510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202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642 500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672 400</w:t>
      </w:r>
      <w:r w:rsidR="00225D0B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5D0B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696 800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FA6A17" w:rsidRPr="006E4510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 на уплату налога на имущество на 202</w:t>
      </w:r>
      <w:r w:rsidR="00306321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A6A17" w:rsidRPr="00151324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дотации бюджетам сельских поселений на поддержку мер по обеспечению сбалансированности б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юджетов на обеспечение </w:t>
      </w:r>
      <w:proofErr w:type="gramStart"/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отдельных категорий работников</w:t>
      </w:r>
      <w:proofErr w:type="gramEnd"/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51324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321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324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6843DA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06321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321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06321" w:rsidRPr="00151324" w:rsidRDefault="00306321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бюджетов, на реализацию проекта «Народный бюджет» на территории муниципального образования Оренбургский район на 202</w:t>
      </w:r>
      <w:r w:rsidR="00151324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25C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2 000 000,0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25C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4225C" w:rsidRDefault="0084225C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 на 202</w:t>
      </w:r>
      <w:r w:rsidR="00151324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51324"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7 3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151324" w:rsidRDefault="00151324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поддержку мер по обеспечению сбалансированности бюджетов муниципальных образований сельских поселений для обеспечения минимального </w:t>
      </w:r>
      <w:proofErr w:type="gramStart"/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бюджетной сферы, источником финансирования которых являются средства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в сумме 292 000,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рублей; </w:t>
      </w:r>
    </w:p>
    <w:p w:rsidR="00151324" w:rsidRPr="00151324" w:rsidRDefault="00151324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сельских поселений на обеспечение комплексного развития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в сумме 6000 000,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и на 2025 год в сумме 1 512 200,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FD7093" w:rsidRPr="006E4510" w:rsidRDefault="00FD7093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межбюджетные трансферты, передаваемые бюджетам сельских поселений для обеспечения </w:t>
      </w:r>
      <w:proofErr w:type="gramStart"/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оплаты труда работников муниципальных учреждений культуры</w:t>
      </w:r>
      <w:proofErr w:type="gramEnd"/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работников муниципальных учреждений на 202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E4510"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602 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000,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451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FA6A17" w:rsidRPr="00CD7CCB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предоставляемых бюджету муници</w:t>
      </w:r>
      <w:r w:rsidR="003A791E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Оренбургский район на осуществление внешнего муниципального финансового контроля на 202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</w:t>
      </w:r>
      <w:r w:rsidR="00306321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2 5</w:t>
      </w:r>
      <w:r w:rsidR="0084225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25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финансовое обеспечение полномочий в области градостроительной деятельности на 202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25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4225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210 800</w:t>
      </w:r>
      <w:r w:rsidR="0084225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25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</w:t>
      </w:r>
      <w:r w:rsidR="0084225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8B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полномочий комиссии по соблюдению требований к служебному</w:t>
      </w:r>
      <w:proofErr w:type="gramEnd"/>
      <w:r w:rsidR="007368B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муниципальных служащих и урегулированию конфликта интересов 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</w:t>
      </w:r>
      <w:r w:rsid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368B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68B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</w:t>
      </w:r>
      <w:r w:rsid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8B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</w:t>
      </w:r>
      <w:r w:rsidR="007368B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43" w:rsidRPr="00CD7CCB" w:rsidRDefault="00FA6A17" w:rsidP="004400C6">
      <w:pPr>
        <w:widowControl w:val="0"/>
        <w:autoSpaceDE w:val="0"/>
        <w:autoSpaceDN w:val="0"/>
        <w:adjustRightInd w:val="0"/>
        <w:spacing w:after="0" w:line="0" w:lineRule="atLeast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734C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5734C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2717E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043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в соответствии с утвержденными условиями и порядками.</w:t>
      </w:r>
    </w:p>
    <w:p w:rsidR="00C700A6" w:rsidRPr="00CD7CCB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</w:t>
      </w:r>
      <w:r w:rsidR="00C43889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D1D7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5A7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5A7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13301A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7368B9" w:rsidRPr="00CD7CCB">
        <w:rPr>
          <w:rFonts w:ascii="Times New Roman" w:hAnsi="Times New Roman" w:cs="Times New Roman"/>
          <w:sz w:val="28"/>
          <w:szCs w:val="28"/>
        </w:rPr>
        <w:t xml:space="preserve">"Устойчивое развитие сельской территории муниципального образования </w:t>
      </w:r>
      <w:proofErr w:type="spellStart"/>
      <w:r w:rsidR="007368B9" w:rsidRPr="00CD7CC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368B9" w:rsidRPr="00CD7CC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2021-2025гг"</w:t>
      </w:r>
      <w:r w:rsidR="009F0E81" w:rsidRPr="00CD7CCB">
        <w:rPr>
          <w:rFonts w:ascii="Times New Roman" w:hAnsi="Times New Roman" w:cs="Times New Roman"/>
          <w:sz w:val="28"/>
          <w:szCs w:val="28"/>
        </w:rPr>
        <w:t>,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43889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790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20805329,86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5A7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20 305 329,86</w:t>
      </w:r>
      <w:r w:rsidR="00FE75A7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</w:t>
      </w:r>
      <w:r w:rsidR="00346458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5A7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76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2176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0536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CD7CCB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</w:t>
      </w:r>
      <w:proofErr w:type="spellStart"/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73A7E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7E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Покровское» </w:t>
      </w:r>
      <w:r w:rsidR="00176F6C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</w:t>
      </w:r>
      <w:r w:rsidR="00E4688D" w:rsidRPr="00CD7CCB">
        <w:rPr>
          <w:rFonts w:ascii="Times New Roman" w:hAnsi="Times New Roman" w:cs="Times New Roman"/>
          <w:sz w:val="28"/>
          <w:szCs w:val="28"/>
        </w:rPr>
        <w:lastRenderedPageBreak/>
        <w:t xml:space="preserve">"Устойчивое развитие сельской территории муниципального образования </w:t>
      </w:r>
      <w:proofErr w:type="spellStart"/>
      <w:r w:rsidR="00E4688D" w:rsidRPr="00CD7CC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E4688D" w:rsidRPr="00CD7CCB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2021-2025гг</w:t>
      </w:r>
      <w:r w:rsidR="00E4688D" w:rsidRPr="0013301A">
        <w:rPr>
          <w:rFonts w:ascii="Times New Roman" w:hAnsi="Times New Roman" w:cs="Times New Roman"/>
          <w:sz w:val="28"/>
          <w:szCs w:val="28"/>
        </w:rPr>
        <w:t>"</w:t>
      </w:r>
      <w:r w:rsidR="009F0E81" w:rsidRPr="0013301A">
        <w:rPr>
          <w:rFonts w:ascii="Times New Roman" w:hAnsi="Times New Roman" w:cs="Times New Roman"/>
          <w:sz w:val="28"/>
          <w:szCs w:val="28"/>
        </w:rPr>
        <w:t>,</w:t>
      </w:r>
      <w:r w:rsidR="00DA6B8E" w:rsidRPr="0013301A">
        <w:rPr>
          <w:rFonts w:ascii="Times New Roman" w:hAnsi="Times New Roman" w:cs="Times New Roman"/>
          <w:sz w:val="28"/>
          <w:szCs w:val="28"/>
        </w:rPr>
        <w:t xml:space="preserve"> </w:t>
      </w:r>
      <w:r w:rsidR="008B790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B8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89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790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73A7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DA6B8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4688D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E4688D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176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A6B8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F0E81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868AC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76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88D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965 600,</w:t>
      </w:r>
      <w:r w:rsidR="002176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CC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2176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88D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="00E4688D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176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4688D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3A7E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смет</w:t>
      </w:r>
      <w:proofErr w:type="gramEnd"/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D85BAE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счета-фактуры 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предъявленных актов выполненных работ</w:t>
      </w:r>
      <w:r w:rsidR="008417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81" w:rsidRPr="00796BCD" w:rsidRDefault="00073581" w:rsidP="0007358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</w:t>
      </w:r>
      <w:r w:rsidR="00E4688D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перечислять субсидию бюджетн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ЦК с.</w:t>
      </w:r>
      <w:r w:rsidR="00E6766E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Подгородняя Покровка Оренбургского района Оренбургской области</w:t>
      </w:r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МБУК ППСМБ </w:t>
      </w:r>
      <w:proofErr w:type="spellStart"/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="00CD7CCB"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</w:t>
      </w:r>
      <w:r w:rsidRPr="00CD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государственного (муниципального) задания </w:t>
      </w:r>
      <w:r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государственных (муниципальных) услуг (выполнение работ)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19 888 435,35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053 025,35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9 053 025,35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E760CF" w:rsidRDefault="00F37D05" w:rsidP="004400C6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90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 w:rsidR="00DD185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</w:t>
      </w:r>
      <w:r w:rsidR="00E4688D" w:rsidRPr="0013301A">
        <w:rPr>
          <w:rFonts w:ascii="Times New Roman" w:hAnsi="Times New Roman" w:cs="Times New Roman"/>
          <w:sz w:val="28"/>
          <w:szCs w:val="28"/>
        </w:rPr>
        <w:t xml:space="preserve">"Устойчивое развитие сельской территории муниципального образования </w:t>
      </w:r>
      <w:proofErr w:type="spellStart"/>
      <w:r w:rsidR="00E4688D" w:rsidRPr="0013301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E4688D" w:rsidRPr="0013301A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2021-</w:t>
      </w:r>
      <w:r w:rsidR="00E4688D" w:rsidRPr="00E760CF">
        <w:rPr>
          <w:rFonts w:ascii="Times New Roman" w:hAnsi="Times New Roman" w:cs="Times New Roman"/>
          <w:sz w:val="28"/>
          <w:szCs w:val="28"/>
        </w:rPr>
        <w:t>2025гг"</w:t>
      </w:r>
      <w:r w:rsidR="00312083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43889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373A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372756</w:t>
      </w:r>
      <w:r w:rsidR="00C768A1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3A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5F9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12083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68AC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4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3A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B32CD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12083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4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176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CF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984 793,30</w:t>
      </w:r>
      <w:r w:rsidR="004B32CD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A45F9" w:rsidRPr="00E7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3301A" w:rsidRDefault="00F37D05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.Установить, что предоставление муниципальных гарантий муниципального образования </w:t>
      </w:r>
      <w:proofErr w:type="spellStart"/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</w:t>
      </w:r>
      <w:r w:rsidR="00C43889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32F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43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13301A" w:rsidRDefault="00205D23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право администрации муниципального образования </w:t>
      </w:r>
      <w:proofErr w:type="spellStart"/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D4050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13301A" w:rsidRDefault="009A5ECD" w:rsidP="004400C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0A6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13301A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предписаниям контрольных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  <w:proofErr w:type="gramEnd"/>
    </w:p>
    <w:p w:rsidR="00C700A6" w:rsidRPr="0013301A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</w:t>
      </w:r>
      <w:r w:rsidR="00DD185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структуру расходов бюджета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3023C" w:rsidRPr="0013301A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3301A">
        <w:rPr>
          <w:rFonts w:ascii="Times New Roman" w:hAnsi="Times New Roman"/>
          <w:sz w:val="28"/>
          <w:szCs w:val="28"/>
        </w:rPr>
        <w:t xml:space="preserve">Установить в соответствии с п. 8 ст. 217 БК </w:t>
      </w:r>
      <w:proofErr w:type="gramStart"/>
      <w:r w:rsidRPr="0013301A">
        <w:rPr>
          <w:rFonts w:ascii="Times New Roman" w:hAnsi="Times New Roman"/>
          <w:sz w:val="28"/>
          <w:szCs w:val="28"/>
        </w:rPr>
        <w:t>РФ</w:t>
      </w:r>
      <w:proofErr w:type="gramEnd"/>
      <w:r w:rsidRPr="0013301A">
        <w:rPr>
          <w:rFonts w:ascii="Times New Roman" w:hAnsi="Times New Roman"/>
          <w:sz w:val="28"/>
          <w:szCs w:val="28"/>
        </w:rPr>
        <w:t xml:space="preserve"> следующие дополнительные основания для внесения изменений  в показатели сводной бюджетной росписи 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3023C" w:rsidRPr="0013301A" w:rsidRDefault="00C3023C" w:rsidP="00C3023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301A">
        <w:rPr>
          <w:rFonts w:ascii="Times New Roman" w:hAnsi="Times New Roman" w:cs="Times New Roman"/>
          <w:sz w:val="28"/>
          <w:szCs w:val="28"/>
        </w:rPr>
        <w:lastRenderedPageBreak/>
        <w:t xml:space="preserve">-перераспределение бюджетных ассигнований главного распорядителя бюджетных средств </w:t>
      </w:r>
      <w:r w:rsidRPr="001330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13301A">
        <w:rPr>
          <w:rFonts w:ascii="Times New Roman" w:hAnsi="Times New Roman" w:cs="Times New Roman"/>
          <w:sz w:val="28"/>
          <w:szCs w:val="28"/>
        </w:rPr>
        <w:t xml:space="preserve">, </w:t>
      </w:r>
      <w:r w:rsidRPr="0013301A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="00373A7E" w:rsidRPr="001330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301A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местного бюджета;</w:t>
      </w:r>
    </w:p>
    <w:p w:rsidR="00C3023C" w:rsidRPr="0013301A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3301A">
        <w:rPr>
          <w:rFonts w:ascii="Times New Roman" w:hAnsi="Times New Roman"/>
          <w:sz w:val="28"/>
          <w:szCs w:val="28"/>
        </w:rPr>
        <w:t xml:space="preserve">-перераспределение бюджетных ассигнований главного распорядителя средств бюджета по разделам, подразделам, целевым статьям и видам расходов в целях обеспечения условий </w:t>
      </w:r>
      <w:proofErr w:type="spellStart"/>
      <w:r w:rsidRPr="0013301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3301A">
        <w:rPr>
          <w:rFonts w:ascii="Times New Roman" w:hAnsi="Times New Roman"/>
          <w:sz w:val="28"/>
          <w:szCs w:val="28"/>
        </w:rPr>
        <w:t xml:space="preserve"> получени</w:t>
      </w:r>
      <w:r w:rsidR="00373A7E" w:rsidRPr="0013301A">
        <w:rPr>
          <w:rFonts w:ascii="Times New Roman" w:hAnsi="Times New Roman"/>
          <w:sz w:val="28"/>
          <w:szCs w:val="28"/>
        </w:rPr>
        <w:t xml:space="preserve">я средств  из  других бюджетов </w:t>
      </w:r>
      <w:r w:rsidRPr="0013301A">
        <w:rPr>
          <w:rFonts w:ascii="Times New Roman" w:hAnsi="Times New Roman"/>
          <w:sz w:val="28"/>
          <w:szCs w:val="28"/>
        </w:rPr>
        <w:t xml:space="preserve">бюджетной системы Российской; </w:t>
      </w:r>
    </w:p>
    <w:p w:rsidR="00C3023C" w:rsidRPr="0013301A" w:rsidRDefault="00C3023C" w:rsidP="00C30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01A">
        <w:rPr>
          <w:rFonts w:ascii="Times New Roman" w:hAnsi="Times New Roman" w:cs="Times New Roman"/>
          <w:color w:val="000000"/>
          <w:sz w:val="28"/>
          <w:szCs w:val="28"/>
        </w:rPr>
        <w:t>- перераспределение бюджетных ассигнований, предусмотренных на уплату налога на имущество организаций;</w:t>
      </w:r>
    </w:p>
    <w:p w:rsidR="00C3023C" w:rsidRPr="007E6340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 w:rsidRPr="007E6340">
        <w:rPr>
          <w:sz w:val="28"/>
          <w:szCs w:val="28"/>
        </w:rPr>
        <w:t xml:space="preserve">-увеличение (уменьшение) бюджетных ассигнований по расходам на дорожное </w:t>
      </w:r>
      <w:proofErr w:type="gramStart"/>
      <w:r w:rsidRPr="007E6340">
        <w:rPr>
          <w:sz w:val="28"/>
          <w:szCs w:val="28"/>
        </w:rPr>
        <w:t>хозяйство</w:t>
      </w:r>
      <w:proofErr w:type="gramEnd"/>
      <w:r w:rsidRPr="007E6340">
        <w:rPr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 муниципального образования </w:t>
      </w:r>
      <w:proofErr w:type="spellStart"/>
      <w:r w:rsidRPr="007E6340">
        <w:rPr>
          <w:sz w:val="28"/>
          <w:szCs w:val="28"/>
        </w:rPr>
        <w:t>Подгородне</w:t>
      </w:r>
      <w:proofErr w:type="spellEnd"/>
      <w:r w:rsidRPr="007E6340">
        <w:rPr>
          <w:sz w:val="28"/>
          <w:szCs w:val="28"/>
        </w:rPr>
        <w:t xml:space="preserve">-Покровский сельсовет в соответствии с Решением Совета депутатов  от </w:t>
      </w:r>
      <w:r w:rsidR="00A5649B" w:rsidRPr="007E6340">
        <w:rPr>
          <w:sz w:val="28"/>
          <w:szCs w:val="28"/>
        </w:rPr>
        <w:t xml:space="preserve">07 ноября 2014 </w:t>
      </w:r>
      <w:r w:rsidRPr="007E6340">
        <w:rPr>
          <w:sz w:val="28"/>
          <w:szCs w:val="28"/>
        </w:rPr>
        <w:t xml:space="preserve">года  № </w:t>
      </w:r>
      <w:r w:rsidR="00A5649B" w:rsidRPr="007E6340">
        <w:rPr>
          <w:sz w:val="28"/>
          <w:szCs w:val="28"/>
        </w:rPr>
        <w:t>199</w:t>
      </w:r>
      <w:r w:rsidR="00225D0B" w:rsidRPr="007E6340">
        <w:rPr>
          <w:sz w:val="28"/>
          <w:szCs w:val="28"/>
        </w:rPr>
        <w:t xml:space="preserve"> </w:t>
      </w:r>
      <w:r w:rsidRPr="007E6340">
        <w:rPr>
          <w:sz w:val="28"/>
          <w:szCs w:val="28"/>
        </w:rPr>
        <w:t xml:space="preserve">«О дорожном фонде муниципального образования </w:t>
      </w:r>
      <w:proofErr w:type="spellStart"/>
      <w:r w:rsidRPr="007E6340">
        <w:rPr>
          <w:sz w:val="28"/>
          <w:szCs w:val="28"/>
        </w:rPr>
        <w:t>Подгородне</w:t>
      </w:r>
      <w:proofErr w:type="spellEnd"/>
      <w:r w:rsidRPr="007E6340">
        <w:rPr>
          <w:sz w:val="28"/>
          <w:szCs w:val="28"/>
        </w:rPr>
        <w:t>-Покровский сельсовет</w:t>
      </w:r>
      <w:r w:rsidR="00A5649B" w:rsidRPr="007E6340">
        <w:rPr>
          <w:sz w:val="28"/>
          <w:szCs w:val="28"/>
        </w:rPr>
        <w:t xml:space="preserve"> Оренбургского района Оренбургской области</w:t>
      </w:r>
      <w:r w:rsidRPr="007E6340">
        <w:rPr>
          <w:sz w:val="28"/>
          <w:szCs w:val="28"/>
        </w:rPr>
        <w:t xml:space="preserve">», </w:t>
      </w:r>
      <w:r w:rsidRPr="007E6340">
        <w:rPr>
          <w:rFonts w:eastAsia="Calibri"/>
          <w:sz w:val="28"/>
          <w:szCs w:val="28"/>
        </w:rPr>
        <w:t xml:space="preserve">а также их </w:t>
      </w:r>
      <w:r w:rsidRPr="007E6340">
        <w:rPr>
          <w:rFonts w:eastAsia="Calibri"/>
          <w:color w:val="000000"/>
          <w:sz w:val="28"/>
          <w:szCs w:val="28"/>
        </w:rPr>
        <w:t>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Pr="007E6340">
        <w:rPr>
          <w:color w:val="000000"/>
          <w:sz w:val="28"/>
          <w:szCs w:val="28"/>
        </w:rPr>
        <w:t>.</w:t>
      </w:r>
    </w:p>
    <w:p w:rsidR="00C700A6" w:rsidRPr="007E6340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="00073781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0A6" w:rsidRPr="007E6340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805B46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</w:t>
      </w:r>
      <w:r w:rsidR="00073781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31D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01A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31D"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A65DDF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5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</w:t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7E6340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4 квартале бюджетного года изменение лимитов бюджетных обязательств местного бюджета не может быть произведено 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распорядителем средств бюджета позднее </w:t>
      </w:r>
      <w:r w:rsid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13301A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DD185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решением Совета депутатов муниципального образования</w:t>
      </w:r>
      <w:r w:rsidR="00BA0669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38227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58, в соответствии с р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 от </w:t>
      </w:r>
      <w:r w:rsidR="00DD185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DD185B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17 июня 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11 «О единовременном целевом взносе на укрепление</w:t>
      </w:r>
      <w:proofErr w:type="gramEnd"/>
      <w:r w:rsidR="00373A7E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Совета (ассоциации)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КБК 611 0113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A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1A4C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81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810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C95" w:rsidRPr="00133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1" w:rsidRPr="007E6340" w:rsidRDefault="00DB6131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параметры первоочередных расходов бюджета</w:t>
      </w:r>
      <w:r w:rsidR="006F2EB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F2EB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6F2EB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</w:t>
      </w:r>
      <w:r w:rsidR="00457524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3781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524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373AE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7E6340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перечень предложений по приоритетным направлениям расходов бюджета муниципального образования </w:t>
      </w:r>
      <w:proofErr w:type="spellStart"/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на 20</w:t>
      </w:r>
      <w:r w:rsidR="00DA6B8E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31D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31D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7E6340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7E6340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</w:t>
      </w:r>
      <w:r w:rsidR="00FF3E37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714" w:rsidRPr="007E6340" w:rsidRDefault="004A2714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имущества;</w:t>
      </w:r>
    </w:p>
    <w:p w:rsidR="00C700A6" w:rsidRPr="007E6340" w:rsidRDefault="00A41A4C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23C" w:rsidRPr="007E6340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eastAsia="Calibri"/>
          <w:color w:val="000000"/>
          <w:sz w:val="28"/>
          <w:szCs w:val="28"/>
        </w:rPr>
      </w:pPr>
      <w:r w:rsidRPr="007E6340">
        <w:rPr>
          <w:rFonts w:eastAsia="Times New Roman"/>
          <w:sz w:val="28"/>
          <w:szCs w:val="28"/>
          <w:lang w:eastAsia="ru-RU"/>
        </w:rPr>
        <w:t>2</w:t>
      </w:r>
      <w:r w:rsidR="00F37D05" w:rsidRPr="007E6340">
        <w:rPr>
          <w:rFonts w:eastAsia="Times New Roman"/>
          <w:sz w:val="28"/>
          <w:szCs w:val="28"/>
          <w:lang w:eastAsia="ru-RU"/>
        </w:rPr>
        <w:t>7</w:t>
      </w:r>
      <w:r w:rsidRPr="007E6340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7E6340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</w:t>
      </w:r>
      <w:r w:rsidRPr="007E6340">
        <w:rPr>
          <w:color w:val="000000"/>
          <w:sz w:val="28"/>
          <w:szCs w:val="28"/>
        </w:rPr>
        <w:t>,</w:t>
      </w:r>
      <w:r w:rsidRPr="007E6340">
        <w:rPr>
          <w:sz w:val="28"/>
          <w:szCs w:val="28"/>
        </w:rPr>
        <w:t xml:space="preserve"> учитываются при последующем внесении изменений в настоящие решение.</w:t>
      </w:r>
      <w:proofErr w:type="gramEnd"/>
    </w:p>
    <w:p w:rsidR="00C700A6" w:rsidRPr="007E6340" w:rsidRDefault="00F37D0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7E6340" w:rsidRDefault="00F37D05" w:rsidP="004400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3E37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3E37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BB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2D531D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17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proofErr w:type="spellStart"/>
      <w:r w:rsidR="00073781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073781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C700A6" w:rsidRPr="007E6340" w:rsidRDefault="00C3023C" w:rsidP="004400C6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D05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25F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</w:t>
      </w:r>
      <w:r w:rsidR="008D0440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общественных местах муниципального образования </w:t>
      </w:r>
      <w:proofErr w:type="spellStart"/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сельсовет.</w:t>
      </w:r>
    </w:p>
    <w:p w:rsidR="00C700A6" w:rsidRPr="007E6340" w:rsidRDefault="00F34C95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D05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 w:rsidR="00073781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7E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796BCD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7E6340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7E6340" w:rsidRDefault="00C700A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7E6340" w:rsidRDefault="008D044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00A6" w:rsidRPr="007E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7E6340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7E6340" w:rsidRDefault="00BF53F5" w:rsidP="00BF53F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Кабанов</w:t>
            </w:r>
          </w:p>
        </w:tc>
      </w:tr>
    </w:tbl>
    <w:p w:rsidR="00C700A6" w:rsidRPr="007E6340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7E6340" w:rsidRDefault="00840BD4" w:rsidP="004400C6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 w:rsidRPr="007E6340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B373AE" w:rsidRPr="007E634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F3E37" w:rsidRPr="007E6340">
        <w:rPr>
          <w:rFonts w:ascii="Times New Roman" w:eastAsia="Times New Roman" w:hAnsi="Times New Roman" w:cs="Times New Roman"/>
          <w:lang w:eastAsia="ru-RU"/>
        </w:rPr>
        <w:t xml:space="preserve">финансовому </w:t>
      </w:r>
      <w:r w:rsidR="00C700A6" w:rsidRPr="007E6340">
        <w:rPr>
          <w:rFonts w:ascii="Times New Roman" w:eastAsia="Times New Roman" w:hAnsi="Times New Roman" w:cs="Times New Roman"/>
          <w:lang w:eastAsia="ru-RU"/>
        </w:rPr>
        <w:t xml:space="preserve">управлению МО Оренбургский район, </w:t>
      </w:r>
      <w:r w:rsidR="00B373AE" w:rsidRPr="007E6340">
        <w:rPr>
          <w:rFonts w:ascii="Times New Roman" w:eastAsia="Times New Roman" w:hAnsi="Times New Roman" w:cs="Times New Roman"/>
          <w:lang w:eastAsia="ru-RU"/>
        </w:rPr>
        <w:t>бухгалтерии</w:t>
      </w:r>
      <w:r w:rsidR="00FF3E37" w:rsidRPr="007E63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0A6" w:rsidRPr="007E6340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82717" w:rsidRPr="007E6340">
        <w:rPr>
          <w:rFonts w:ascii="Times New Roman" w:eastAsia="Times New Roman" w:hAnsi="Times New Roman" w:cs="Times New Roman"/>
          <w:lang w:eastAsia="ru-RU"/>
        </w:rPr>
        <w:t xml:space="preserve"> МО </w:t>
      </w:r>
      <w:proofErr w:type="spellStart"/>
      <w:r w:rsidR="00082717" w:rsidRPr="007E6340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="00082717" w:rsidRPr="007E6340">
        <w:rPr>
          <w:rFonts w:ascii="Times New Roman" w:eastAsia="Times New Roman" w:hAnsi="Times New Roman" w:cs="Times New Roman"/>
          <w:lang w:eastAsia="ru-RU"/>
        </w:rPr>
        <w:t>-Покровский сельсовет</w:t>
      </w:r>
      <w:r w:rsidR="00C700A6" w:rsidRPr="007E6340">
        <w:rPr>
          <w:rFonts w:ascii="Times New Roman" w:eastAsia="Times New Roman" w:hAnsi="Times New Roman" w:cs="Times New Roman"/>
          <w:lang w:eastAsia="ru-RU"/>
        </w:rPr>
        <w:t>, Совету депутатов, УФК по Орен</w:t>
      </w:r>
      <w:r w:rsidR="00FF3E37" w:rsidRPr="007E6340">
        <w:rPr>
          <w:rFonts w:ascii="Times New Roman" w:eastAsia="Times New Roman" w:hAnsi="Times New Roman" w:cs="Times New Roman"/>
          <w:lang w:eastAsia="ru-RU"/>
        </w:rPr>
        <w:t>бургской области, прокуратуре района, в</w:t>
      </w:r>
      <w:r w:rsidR="00C700A6" w:rsidRPr="007E6340">
        <w:rPr>
          <w:rFonts w:ascii="Times New Roman" w:eastAsia="Times New Roman" w:hAnsi="Times New Roman" w:cs="Times New Roman"/>
          <w:lang w:eastAsia="ru-RU"/>
        </w:rPr>
        <w:t xml:space="preserve"> дело</w:t>
      </w:r>
    </w:p>
    <w:p w:rsidR="006E1103" w:rsidRPr="00796BCD" w:rsidRDefault="006E1103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1103" w:rsidRPr="00796BCD" w:rsidRDefault="006E1103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1103" w:rsidRPr="00796BCD" w:rsidRDefault="006E1103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1103" w:rsidRPr="00796BCD" w:rsidRDefault="006E1103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0BD4" w:rsidRPr="00A65DDF" w:rsidRDefault="00B373AE" w:rsidP="00B373AE">
      <w:pPr>
        <w:tabs>
          <w:tab w:val="center" w:pos="4677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Pr="00A65DDF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Pr="00796BCD" w:rsidRDefault="000A54BB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DF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0BD4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7E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DF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C6D5D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9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796BCD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A65DDF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15C9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65DDF"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A65DDF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A6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FC6D5D" w:rsidRPr="00796BCD" w:rsidTr="00800B9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Pr="00C87268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C87268" w:rsidRDefault="00BF031D" w:rsidP="00C8726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C87268"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C872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796BCD" w:rsidTr="00800B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2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C87268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796BCD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C6D5D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E760CF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C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805B46" w:rsidRDefault="00F87DAA" w:rsidP="00E76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E760CF"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805B46" w:rsidRDefault="00F87DAA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805B46" w:rsidRDefault="00F87DAA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805B46"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5B46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5B46" w:rsidRPr="00796BCD" w:rsidTr="00805B4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46" w:rsidRPr="00805B46" w:rsidRDefault="00805B46" w:rsidP="00805B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-118825410,97</w:t>
            </w:r>
          </w:p>
        </w:tc>
      </w:tr>
      <w:tr w:rsidR="00800B99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5B46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5B46" w:rsidRDefault="00805B46" w:rsidP="00800B99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796BCD" w:rsidRDefault="00805B46" w:rsidP="00800B99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Pr="00796BCD" w:rsidRDefault="00805B46" w:rsidP="00800B99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805B46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805B46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  <w:tr w:rsidR="00805B46" w:rsidRPr="00796BCD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6" w:rsidRPr="00805B46" w:rsidRDefault="00805B4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46" w:rsidRPr="00805B46" w:rsidRDefault="00805B46" w:rsidP="00805B46">
            <w:pPr>
              <w:jc w:val="center"/>
              <w:rPr>
                <w:rFonts w:ascii="Times New Roman" w:hAnsi="Times New Roman" w:cs="Times New Roman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125664789,94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119266351,67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B46" w:rsidRPr="00796BCD" w:rsidRDefault="00805B46" w:rsidP="00805B46">
            <w:pPr>
              <w:jc w:val="center"/>
              <w:rPr>
                <w:highlight w:val="yellow"/>
              </w:rPr>
            </w:pPr>
            <w:r w:rsidRPr="00805B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118825410,97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BF6" w:rsidRPr="00796BCD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C87268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Pr="00796BCD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268"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7E9"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68"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8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A4C" w:rsidRPr="00796BCD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:rsidR="00A41A4C" w:rsidRPr="00805B46" w:rsidRDefault="009D3BAB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</w:t>
      </w:r>
      <w:r w:rsidR="00A41A4C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805B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62B3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41A4C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</w:t>
      </w:r>
      <w:r w:rsidR="00D25758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23163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5C9A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80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805B46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6"/>
        <w:gridCol w:w="1418"/>
      </w:tblGrid>
      <w:tr w:rsidR="00A41A4C" w:rsidRPr="00805B46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805B46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805B46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6D5D" w:rsidRPr="00805B46" w:rsidTr="00C768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5D" w:rsidRPr="00805B46" w:rsidRDefault="00C768A1" w:rsidP="00C768A1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5D" w:rsidRPr="00805B46" w:rsidRDefault="00C768A1" w:rsidP="00C768A1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D5D" w:rsidRPr="00805B46" w:rsidRDefault="00FC6D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A4C" w:rsidRPr="00805B46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6A79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1A4C" w:rsidRPr="00796BCD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1 0302262010000110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805B46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805B46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796BCD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A41A4C" w:rsidRPr="00796BCD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805B46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805B46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805B46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находящимися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ДОХОДОВ ОТ ОКАЗАНИЯ ПЛАТНЫХ УСЛУГ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796BCD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</w:t>
            </w:r>
            <w:proofErr w:type="gramStart"/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бюджетных и автономных учреждений), 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036B6D"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="00036B6D"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805B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796BCD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</w:t>
            </w:r>
            <w:r w:rsidR="00036B6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выгодо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tabs>
                <w:tab w:val="left" w:pos="2586"/>
              </w:tabs>
              <w:spacing w:after="0" w:line="0" w:lineRule="atLeast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805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796BCD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805B46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5B247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64FD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805B46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805B46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805B46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796BCD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805B46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805B46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670"/>
        <w:gridCol w:w="1134"/>
      </w:tblGrid>
      <w:tr w:rsidR="0051505B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805B46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805B46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C64A6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016CF4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ПРОЧИХ БЕЗВОЗМЕЗДНЫХ ПОСТУПЛЕНИЙ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</w:t>
            </w:r>
            <w:r w:rsidR="00544157"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80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805B46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412924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805B46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805B46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805B46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B4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80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796BCD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805B46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2 19 00000 10 0000 15</w:t>
            </w:r>
            <w:r w:rsidR="005170BE"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805B46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805B46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6B78" w:rsidRPr="00796BCD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669" w:rsidRPr="00796BCD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41A4C" w:rsidRPr="00796BCD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67500" w:rsidRPr="00796BCD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A67500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1055" w:rsidRPr="00805B4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26420" w:rsidRPr="00805B46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B46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805B46">
        <w:rPr>
          <w:rFonts w:ascii="Times New Roman" w:eastAsia="Times New Roman" w:hAnsi="Times New Roman" w:cs="Times New Roman"/>
          <w:sz w:val="28"/>
          <w:szCs w:val="28"/>
        </w:rPr>
        <w:t>-Покровский сельсовет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805B46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26420" w:rsidRPr="00805B46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5B46" w:rsidRPr="00805B4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6766E" w:rsidRPr="00805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B4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05B46" w:rsidRPr="00805B4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26420" w:rsidRPr="00796BCD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805B46" w:rsidRPr="00805B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05B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805B46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Pr="00805B46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B46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2693"/>
        <w:gridCol w:w="6357"/>
        <w:gridCol w:w="1596"/>
        <w:gridCol w:w="1596"/>
        <w:gridCol w:w="1791"/>
      </w:tblGrid>
      <w:tr w:rsidR="0031184B" w:rsidRPr="0031184B" w:rsidTr="0031184B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31184B" w:rsidRPr="0031184B" w:rsidTr="0031184B">
        <w:trPr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113237689,94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112536251,67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116558710,97</w:t>
            </w:r>
          </w:p>
        </w:tc>
      </w:tr>
      <w:tr w:rsidR="0031184B" w:rsidRPr="0031184B" w:rsidTr="0031184B">
        <w:trPr>
          <w:trHeight w:val="2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31184B" w:rsidRPr="0031184B" w:rsidTr="0031184B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78314000,00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79885000,00</w:t>
            </w:r>
          </w:p>
        </w:tc>
      </w:tr>
      <w:tr w:rsidR="0031184B" w:rsidRPr="0031184B" w:rsidTr="0031184B">
        <w:trPr>
          <w:trHeight w:val="7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79664000,00</w:t>
            </w:r>
          </w:p>
        </w:tc>
      </w:tr>
      <w:tr w:rsidR="0031184B" w:rsidRPr="0031184B" w:rsidTr="0031184B">
        <w:trPr>
          <w:trHeight w:val="9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</w:tr>
      <w:tr w:rsidR="0031184B" w:rsidRPr="0031184B" w:rsidTr="0031184B">
        <w:trPr>
          <w:trHeight w:val="4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1 01 02080 01 0000 110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31184B" w:rsidRPr="0031184B" w:rsidTr="0031184B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4425956,42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4870977,45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4425956,42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4653518,15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4870977,45</w:t>
            </w:r>
          </w:p>
        </w:tc>
      </w:tr>
      <w:tr w:rsidR="0031184B" w:rsidRPr="0031184B" w:rsidTr="0031184B">
        <w:trPr>
          <w:trHeight w:val="8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2096354,41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2220112,88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2329570,34</w:t>
            </w:r>
          </w:p>
        </w:tc>
      </w:tr>
      <w:tr w:rsidR="0031184B" w:rsidRPr="0031184B" w:rsidTr="0031184B">
        <w:trPr>
          <w:trHeight w:val="11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14561,21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15165,44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15497,68</w:t>
            </w:r>
          </w:p>
        </w:tc>
      </w:tr>
      <w:tr w:rsidR="0031184B" w:rsidRPr="0031184B" w:rsidTr="0031184B">
        <w:trPr>
          <w:trHeight w:val="8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2591520,56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2708992,03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2812779,76</w:t>
            </w:r>
          </w:p>
        </w:tc>
      </w:tr>
      <w:tr w:rsidR="0031184B" w:rsidRPr="0031184B" w:rsidTr="0031184B">
        <w:trPr>
          <w:trHeight w:val="8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-276479,76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-290752,20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-286870,33</w:t>
            </w:r>
          </w:p>
        </w:tc>
      </w:tr>
      <w:tr w:rsidR="0031184B" w:rsidRPr="0031184B" w:rsidTr="0031184B">
        <w:trPr>
          <w:trHeight w:val="2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31184B" w:rsidRPr="0031184B" w:rsidTr="0031184B">
        <w:trPr>
          <w:trHeight w:val="2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27597000,00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28307000,00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30519000,00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26342000,00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28357000,00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24864000,00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3493000,00</w:t>
            </w:r>
          </w:p>
        </w:tc>
      </w:tr>
      <w:tr w:rsidR="0031184B" w:rsidRPr="0031184B" w:rsidTr="0031184B">
        <w:trPr>
          <w:trHeight w:val="2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31184B" w:rsidRPr="0031184B" w:rsidTr="0031184B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31184B" w:rsidRPr="0031184B" w:rsidTr="0031184B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31184B" w:rsidRPr="0031184B" w:rsidTr="0031184B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403733,52</w:t>
            </w:r>
          </w:p>
        </w:tc>
      </w:tr>
      <w:tr w:rsidR="0031184B" w:rsidRPr="0031184B" w:rsidTr="0031184B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1 11 05020 10 0000 120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31184B" w:rsidRPr="0031184B" w:rsidTr="0031184B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387270,00</w:t>
            </w:r>
          </w:p>
        </w:tc>
      </w:tr>
      <w:tr w:rsidR="0031184B" w:rsidRPr="0031184B" w:rsidTr="0031184B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31184B" w:rsidRPr="0031184B" w:rsidTr="0031184B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16463,52</w:t>
            </w:r>
          </w:p>
        </w:tc>
      </w:tr>
      <w:tr w:rsidR="0031184B" w:rsidRPr="0031184B" w:rsidTr="0031184B">
        <w:trPr>
          <w:trHeight w:val="2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3837000,00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1 14 06000 00 0000 430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12427100,00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6730100,00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31184B" w:rsidRPr="0031184B" w:rsidTr="0031184B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12427100,00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6730100,00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2266700,00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11127000,00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11127000,00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2 02 15002 10 0001 150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2 02 15002 10 6111 150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2 02 15002 10 6444 150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2 02 15002 10 6409 150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</w:t>
            </w: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2 02 15002 10 6888 150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бюджетов муниципальных образований сельских поселений для обеспечения минимального </w:t>
            </w:r>
            <w:proofErr w:type="gramStart"/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730100,00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754500,00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57700,00</w:t>
            </w:r>
          </w:p>
        </w:tc>
      </w:tr>
      <w:tr w:rsidR="0031184B" w:rsidRPr="0031184B" w:rsidTr="0031184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31184B" w:rsidRPr="0031184B" w:rsidTr="0031184B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696800,00</w:t>
            </w:r>
          </w:p>
        </w:tc>
      </w:tr>
      <w:tr w:rsidR="0031184B" w:rsidRPr="0031184B" w:rsidTr="0031184B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7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2 02 49999 10 6777 150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</w:t>
            </w: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дополнительного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184B" w:rsidRPr="0031184B" w:rsidTr="0031184B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125664789,94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119266351,67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4B" w:rsidRPr="0031184B" w:rsidRDefault="0031184B" w:rsidP="0031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118825410,97</w:t>
            </w:r>
          </w:p>
        </w:tc>
      </w:tr>
    </w:tbl>
    <w:p w:rsidR="00326420" w:rsidRPr="00796BCD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6420" w:rsidRPr="00796BCD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26420" w:rsidRPr="00796BCD" w:rsidSect="003118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055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240440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7D71CE" w:rsidRPr="00240440" w:rsidRDefault="007D71CE" w:rsidP="007D71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2717E9" w:rsidRPr="002404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404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17E9" w:rsidRPr="0024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6569B" w:rsidRPr="00240440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sz w:val="24"/>
          <w:szCs w:val="24"/>
        </w:rPr>
        <w:tab/>
      </w:r>
      <w:r w:rsidRPr="00240440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240440">
        <w:rPr>
          <w:b/>
          <w:sz w:val="24"/>
          <w:szCs w:val="24"/>
        </w:rPr>
        <w:t>ОРЕНБУРГСКОГО РАЙОНА ОРЕНБУРГСКОЙ ОБЛАСТИ НА 20</w:t>
      </w:r>
      <w:r w:rsidR="00562B3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3</w:t>
      </w:r>
      <w:r w:rsidR="00DA5EC1" w:rsidRPr="00240440">
        <w:rPr>
          <w:b/>
          <w:sz w:val="24"/>
          <w:szCs w:val="24"/>
        </w:rPr>
        <w:t xml:space="preserve"> ГОД И НА ПЛАНОВЫЙ ПЕРИОД 20</w:t>
      </w:r>
      <w:r w:rsidR="00977BC6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4</w:t>
      </w:r>
      <w:proofErr w:type="gramStart"/>
      <w:r w:rsidR="00DA5EC1" w:rsidRPr="00240440">
        <w:rPr>
          <w:b/>
          <w:sz w:val="24"/>
          <w:szCs w:val="24"/>
        </w:rPr>
        <w:t xml:space="preserve"> И</w:t>
      </w:r>
      <w:proofErr w:type="gramEnd"/>
      <w:r w:rsidR="00DA5EC1" w:rsidRPr="00240440">
        <w:rPr>
          <w:b/>
          <w:sz w:val="24"/>
          <w:szCs w:val="24"/>
        </w:rPr>
        <w:t xml:space="preserve"> 20</w:t>
      </w:r>
      <w:r w:rsidR="007F08F2" w:rsidRPr="00240440">
        <w:rPr>
          <w:b/>
          <w:sz w:val="24"/>
          <w:szCs w:val="24"/>
        </w:rPr>
        <w:t>2</w:t>
      </w:r>
      <w:r w:rsidR="00240440" w:rsidRPr="00240440">
        <w:rPr>
          <w:b/>
          <w:sz w:val="24"/>
          <w:szCs w:val="24"/>
        </w:rPr>
        <w:t>5</w:t>
      </w:r>
      <w:r w:rsidR="00DA5EC1" w:rsidRPr="00240440">
        <w:rPr>
          <w:b/>
          <w:sz w:val="24"/>
          <w:szCs w:val="24"/>
        </w:rPr>
        <w:t xml:space="preserve"> ГОДОВ</w:t>
      </w:r>
    </w:p>
    <w:p w:rsidR="00A6569B" w:rsidRPr="00240440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ПО РАЗДЕЛАМ И ПОДРАЗДЕЛАМ </w:t>
      </w:r>
    </w:p>
    <w:p w:rsidR="00A6569B" w:rsidRPr="00240440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240440">
        <w:rPr>
          <w:b/>
          <w:sz w:val="24"/>
          <w:szCs w:val="24"/>
        </w:rPr>
        <w:t xml:space="preserve">РАСХОДОВ </w:t>
      </w:r>
      <w:r w:rsidR="00A6569B" w:rsidRPr="00240440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240440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Pr="00240440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24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6420" w:rsidRPr="00796BCD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796BCD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1701"/>
        <w:gridCol w:w="1701"/>
        <w:gridCol w:w="1727"/>
      </w:tblGrid>
      <w:tr w:rsidR="00B611D4" w:rsidRPr="00771B48" w:rsidTr="00771B48">
        <w:trPr>
          <w:trHeight w:val="13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611D4" w:rsidRPr="00771B48" w:rsidTr="00771B48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18 614 206,63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B611D4" w:rsidRPr="00771B48" w:rsidTr="00771B48">
        <w:trPr>
          <w:trHeight w:val="8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611D4" w:rsidRPr="00771B48" w:rsidTr="00771B48">
        <w:trPr>
          <w:trHeight w:val="11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B611D4" w:rsidRPr="00771B48" w:rsidTr="00771B48">
        <w:trPr>
          <w:trHeight w:val="8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771B48" w:rsidTr="00771B48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611D4" w:rsidRPr="00771B48" w:rsidTr="00771B48">
        <w:trPr>
          <w:trHeight w:val="8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611D4" w:rsidRPr="00771B48" w:rsidTr="00771B48">
        <w:trPr>
          <w:trHeight w:val="8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40 773 756,42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30 830 471,00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B611D4" w:rsidRPr="00771B48" w:rsidTr="00771B48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</w:tr>
      <w:tr w:rsidR="00B611D4" w:rsidRPr="00771B48" w:rsidTr="00771B48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43 273 741,26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56 290 818,12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49 250 932,86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25 308 141,26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B611D4" w:rsidRPr="00771B48" w:rsidTr="00771B48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5 827 935,55</w:t>
            </w:r>
          </w:p>
        </w:tc>
      </w:tr>
      <w:tr w:rsidR="00B611D4" w:rsidRPr="00771B48" w:rsidTr="00771B48">
        <w:trPr>
          <w:trHeight w:val="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125 664 789,94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119 266 351,67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771B48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B611D4" w:rsidRPr="00771B48" w:rsidTr="00771B48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771B48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D4" w:rsidRPr="0079745A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125 664 789,94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79745A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119 266 351,67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1D4" w:rsidRPr="0079745A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118 825 410,97</w:t>
            </w:r>
          </w:p>
        </w:tc>
      </w:tr>
    </w:tbl>
    <w:p w:rsidR="00421904" w:rsidRPr="00796BCD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421904" w:rsidRPr="00796BCD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F4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7D71CE" w:rsidRPr="00240440" w:rsidRDefault="007D71CE" w:rsidP="007D71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6766E" w:rsidRPr="0024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44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2788F" w:rsidRPr="00796BCD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0BD4" w:rsidRPr="00796BCD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A3237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240440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A5EC1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240440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240440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709"/>
        <w:gridCol w:w="523"/>
        <w:gridCol w:w="611"/>
        <w:gridCol w:w="72"/>
        <w:gridCol w:w="264"/>
        <w:gridCol w:w="456"/>
        <w:gridCol w:w="860"/>
        <w:gridCol w:w="576"/>
        <w:gridCol w:w="1741"/>
        <w:gridCol w:w="1843"/>
        <w:gridCol w:w="1842"/>
      </w:tblGrid>
      <w:tr w:rsidR="00B611D4" w:rsidRPr="00B611D4" w:rsidTr="00B611D4">
        <w:trPr>
          <w:trHeight w:val="1399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B611D4" w:rsidRPr="00B611D4" w:rsidTr="00B611D4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125 664 789,94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119 266 351,67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118 825 410,97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18 614 206,63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15 175 627,27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15 157 267,27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15 209 875,27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13 720 378,35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13 734 218,35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2 078 573,00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2 092 413,00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661A51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661A51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661A51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772 815,00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79745A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7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40 773 756,42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30 830 471,00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25 886 078,75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25 886 078,75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401 000,00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43 273 741,26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56 290 818,12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49 250 932,86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25 308 141,26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661A51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661A51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сельсовета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66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24 004 690,26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24 004 690,26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21 431 545,26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31 280 578,12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30 525 329,86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21 431 545,26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31 280 578,12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30 525 329,86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1 929 666,40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10 975 248,26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19 501 878,86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11 544 640,00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5 260 003,00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3 099 703,00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3 099 703,00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B611D4" w:rsidRPr="00B611D4" w:rsidTr="00B611D4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6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(комплексная программа) «Развитие культуры села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13 890 819,00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на 2023 - 2030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B611D4" w:rsidTr="00B611D4">
        <w:trPr>
          <w:trHeight w:val="17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B611D4" w:rsidTr="00B611D4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B611D4" w:rsidTr="00B611D4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611D4" w:rsidRPr="00B611D4" w:rsidTr="00B611D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B611D4" w:rsidRPr="00B611D4" w:rsidTr="00B611D4">
        <w:trPr>
          <w:trHeight w:val="36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125 664 789,94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119 266 351,67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1D4" w:rsidRPr="00B611D4" w:rsidRDefault="00B611D4" w:rsidP="00B61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800B99" w:rsidRPr="00796BCD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00B99" w:rsidRPr="00796BCD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611D4" w:rsidRDefault="00B611D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D4" w:rsidRDefault="00B611D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D4" w:rsidRDefault="00B611D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D4" w:rsidRDefault="00B611D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D4" w:rsidRDefault="00B611D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D4" w:rsidRDefault="00B611D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D4" w:rsidRDefault="00B611D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5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412924" w:rsidRPr="00240440" w:rsidRDefault="00412924" w:rsidP="0041292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6766E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62027" w:rsidRPr="00796BCD" w:rsidRDefault="0016202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A6262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240440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918C7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240440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Pr="00240440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118"/>
        <w:gridCol w:w="709"/>
        <w:gridCol w:w="709"/>
        <w:gridCol w:w="567"/>
        <w:gridCol w:w="336"/>
        <w:gridCol w:w="456"/>
        <w:gridCol w:w="860"/>
        <w:gridCol w:w="820"/>
        <w:gridCol w:w="1639"/>
        <w:gridCol w:w="1559"/>
        <w:gridCol w:w="1701"/>
      </w:tblGrid>
      <w:tr w:rsidR="00771B48" w:rsidRPr="00771B48" w:rsidTr="00771B48">
        <w:trPr>
          <w:trHeight w:val="139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1B48" w:rsidRPr="00771B48" w:rsidTr="00771B48">
        <w:trPr>
          <w:trHeight w:val="24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18 614 206,63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15 450 675,27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15 175 627,27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15 157 267,27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15 209 875,27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13 720 378,35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13 734 218,35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2 092 413,00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771B48" w:rsidRPr="00771B48" w:rsidTr="00771B4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1 250 696,00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1 220 315,00</w:t>
            </w:r>
          </w:p>
        </w:tc>
      </w:tr>
      <w:tr w:rsidR="00661A51" w:rsidRPr="00771B48" w:rsidTr="00771B4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772 815,00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9745A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40 773 756,42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30 830 471,00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25 886 078,75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25 886 078,75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771B48" w:rsidRPr="00771B48" w:rsidTr="00771B4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43 273 741,26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56 290 818,12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49 250 932,86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71B48" w:rsidRPr="00771B48" w:rsidTr="00771B4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25 308 141,26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35 785 332,86</w:t>
            </w:r>
          </w:p>
        </w:tc>
      </w:tr>
      <w:tr w:rsidR="0011342D" w:rsidRPr="00771B48" w:rsidTr="00771B4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24 004 690,26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24 004 690,26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«Благоустройство территории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21 431 545,26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31 280 578,12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30 525 329,86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21 431 545,26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31 280 578,12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30 525 329,86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1 929 666,40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10 975 248,26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19 501 878,86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11 544 640,00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5 260 003,00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3 099 703,00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3 099 703,00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«Развитие культуры села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13 890 819,00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4D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муниципальном образовании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4D7C67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4D7C67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5 827 935,55</w:t>
            </w:r>
          </w:p>
        </w:tc>
      </w:tr>
      <w:tr w:rsidR="00771B48" w:rsidRPr="00771B48" w:rsidTr="00771B48">
        <w:trPr>
          <w:trHeight w:val="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125 664 789,94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119 266 351,67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771B48" w:rsidRPr="00771B48" w:rsidTr="00771B48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125 664 789,94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119 266 351,67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77725" w:rsidRPr="00796BCD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Pr="00796BCD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Pr="00796BCD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Pr="00796BCD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0B99" w:rsidRPr="00796BCD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5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Pr="00240440" w:rsidRDefault="00E6766E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60D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240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066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A066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DE4" w:rsidRPr="00796BCD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83D19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B52DD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40440"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240440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AF1" w:rsidRPr="00796BCD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3966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0"/>
        <w:gridCol w:w="456"/>
        <w:gridCol w:w="336"/>
        <w:gridCol w:w="456"/>
        <w:gridCol w:w="860"/>
        <w:gridCol w:w="820"/>
        <w:gridCol w:w="1800"/>
        <w:gridCol w:w="1680"/>
        <w:gridCol w:w="1880"/>
      </w:tblGrid>
      <w:tr w:rsidR="00771B48" w:rsidRPr="00771B48" w:rsidTr="00771B48">
        <w:trPr>
          <w:trHeight w:val="1399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1B48" w:rsidRPr="00771B48" w:rsidTr="00771B48">
        <w:trPr>
          <w:trHeight w:val="24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18 614 206,63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18 224 580,63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18 229 273,63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9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1 558 283,36</w:t>
            </w:r>
          </w:p>
        </w:tc>
      </w:tr>
      <w:tr w:rsidR="00771B48" w:rsidRPr="00771B48" w:rsidTr="00771B48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15 450 675,27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9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15 499 727,27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15 481 367,27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15 450 675,27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15 175 627,27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15 157 267,27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15 209 875,27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13 720 378,35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13 734 218,35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13 786 826,35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11 641 805,35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2 078 573,00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2 092 413,00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2 145 021,00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1 342 048,92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240 800,00</w:t>
            </w:r>
          </w:p>
        </w:tc>
      </w:tr>
      <w:tr w:rsidR="00771B48" w:rsidRPr="00771B48" w:rsidTr="00771B4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9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1 250 696,00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1 220 315,00</w:t>
            </w:r>
          </w:p>
        </w:tc>
      </w:tr>
      <w:tr w:rsidR="00661A51" w:rsidRPr="00771B48" w:rsidTr="00771B4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A51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51" w:rsidRPr="00B611D4" w:rsidRDefault="00661A51" w:rsidP="0066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1" w:rsidRPr="00771B48" w:rsidRDefault="00661A51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1 200 696,00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1 184 930,00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1 220 315,00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13 725,00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772 815,00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806 355,00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841 740,00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609 815,00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643 355,00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678 740,00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696 800,00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1 014 200,00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9745A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«Безопасность»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40 773 756,42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30 830 471,00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34 385 793,30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40 372 756,42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30 429 471,00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33 984 793,30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2 493 880,00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25 886 078,75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25 886 078,75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28 943 670,00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32 498 992,30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4 692 797,67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1 485 801,00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771B48" w:rsidRPr="00771B48" w:rsidTr="00771B4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9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43 273 741,26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56 290 818,12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49 250 932,86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13 465 600,00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71B48" w:rsidRPr="00771B48" w:rsidTr="00771B4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17 465 600,00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12 965 600,00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25 308 141,26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35 785 332,86</w:t>
            </w:r>
          </w:p>
        </w:tc>
      </w:tr>
      <w:tr w:rsidR="0011342D" w:rsidRPr="00771B48" w:rsidTr="00771B4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42D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D" w:rsidRPr="00B611D4" w:rsidRDefault="0011342D" w:rsidP="00A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1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1 303 451,00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42D" w:rsidRPr="00771B48" w:rsidRDefault="0011342D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24 004 690,26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24 004 690,26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42 825 218,12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35 785 332,86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21 431 545,26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31 280 578,12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30 525 329,86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21 431 545,26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31 280 578,12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30 525 329,86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10 975 248,26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19 501 878,86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20 305 329,86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11 544 640,00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5 260 003,00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2 973 340,00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3 099 703,00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2 573 145,00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2 973 340,00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3 099 703,00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8 571 300,00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2 160 300,00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«Развитие культуры села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2023 - 2030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19 888 435,35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9 053 025,35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5 997 616,35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13 890 819,00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7 624 797,00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7 734 097,00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текущему и капитальному ремонту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5 537 473,00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1 227 950,28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9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1 032 950,28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9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(комплексная программа) "Совершенствование муниципального управления в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2023 - 2030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11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proofErr w:type="gramStart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программа) «Комплексное развитие сельской территории 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</w:t>
            </w:r>
            <w:r w:rsidR="0079745A" w:rsidRPr="00B6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7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</w:t>
            </w:r>
            <w:r w:rsidR="0079745A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на 2023 - 2030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771B48" w:rsidRPr="00771B48" w:rsidTr="00771B4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2 813 406,29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5 827 935,55</w:t>
            </w:r>
          </w:p>
        </w:tc>
      </w:tr>
      <w:tr w:rsidR="00771B48" w:rsidRPr="00771B48" w:rsidTr="00771B48">
        <w:trPr>
          <w:trHeight w:val="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125 664 789,94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119 266 351,67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118 825 410,97</w:t>
            </w:r>
          </w:p>
        </w:tc>
      </w:tr>
      <w:tr w:rsidR="00771B48" w:rsidRPr="00771B48" w:rsidTr="00771B48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125 664 789,94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119 266 351,67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48" w:rsidRPr="00771B48" w:rsidRDefault="00771B48" w:rsidP="0077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118 825 410,97</w:t>
            </w:r>
          </w:p>
        </w:tc>
      </w:tr>
    </w:tbl>
    <w:p w:rsidR="00B77725" w:rsidRPr="00796BCD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83F06" w:rsidRPr="00796BCD" w:rsidRDefault="00D83F0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21904" w:rsidRPr="00796BCD" w:rsidRDefault="0042190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421904" w:rsidRPr="00796BCD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A4F67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240440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Pr="00240440" w:rsidRDefault="00E6766E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66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A0669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0440" w:rsidRPr="002404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D3FFC" w:rsidRPr="00796BCD" w:rsidRDefault="000D3FF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562B36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ПАРАМЕТРЫ ПЕРВООЧЕРЕДНЫХ РАСХОДОВ БЮДЖЕТА МУНИЦИПАЛЬНОГО ОБРАЗОВАНИЯ ПОДГОРОДНЕ-ПОКРОВСКИЙ СЕЛЬСОВЕТ</w:t>
      </w:r>
      <w:r w:rsidR="00DF7DD7"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ОРЕНБУРГСКОГО РАЙОНА ОРЕНБУРГСКОЙ ОБЛАСТИ </w:t>
      </w:r>
    </w:p>
    <w:p w:rsidR="000D3FFC" w:rsidRPr="00240440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562B36"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40440"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1B3A9D" w:rsidRPr="00240440" w:rsidRDefault="0071177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92CF6"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</w:t>
      </w:r>
      <w:r w:rsidR="00DF7DD7"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0440" w:rsidRPr="00240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рублей)  </w:t>
      </w:r>
    </w:p>
    <w:p w:rsidR="00800B99" w:rsidRPr="00796BCD" w:rsidRDefault="00651CC7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796BC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0"/>
        <w:gridCol w:w="3590"/>
        <w:gridCol w:w="1275"/>
        <w:gridCol w:w="2268"/>
        <w:gridCol w:w="1843"/>
      </w:tblGrid>
      <w:tr w:rsidR="00FB626F" w:rsidRPr="00FB626F" w:rsidTr="00FB626F">
        <w:trPr>
          <w:trHeight w:val="51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редусмотрено в минимальном бюджете </w:t>
            </w:r>
          </w:p>
        </w:tc>
      </w:tr>
      <w:tr w:rsidR="00FB626F" w:rsidRPr="00FB626F" w:rsidTr="00FB626F">
        <w:trPr>
          <w:trHeight w:val="12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числ-ть</w:t>
            </w:r>
            <w:proofErr w:type="spell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</w:t>
            </w:r>
          </w:p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начислениями)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</w:tr>
      <w:tr w:rsidR="00FB626F" w:rsidRPr="00FB626F" w:rsidTr="00FB626F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0100 "Общегосударственные вопросы"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615,50</w:t>
            </w:r>
          </w:p>
        </w:tc>
      </w:tr>
      <w:tr w:rsidR="00FB626F" w:rsidRPr="00FB626F" w:rsidTr="00FB626F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11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15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ОМСУ (за искл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ючением муниципальных 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получающих 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заработную плату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МРОТ) (технический персонал)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1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0300 "Национальная безопасность и правоохранительная деятельность"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693,10</w:t>
            </w:r>
          </w:p>
        </w:tc>
      </w:tr>
      <w:tr w:rsidR="00FB626F" w:rsidRPr="00FB626F" w:rsidTr="00FB626F">
        <w:trPr>
          <w:trHeight w:val="12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учреждений, не вошедшие в 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E8B"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поименованные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указах Президента от 07.05.2012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C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организаций и учреждений, получающие </w:t>
            </w:r>
            <w:r w:rsidR="00C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заработную плату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МРОТ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0500 "Благоустройство"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626F" w:rsidRPr="00FB626F" w:rsidTr="00FB626F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C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учреждений, не вошедшие в 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поименованные в указах Президента от 07.05.2012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организаций и учреждений, получающие 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заработную плату</w:t>
            </w:r>
            <w:r w:rsidR="0015383B"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МРОТ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0800 "Культура и искусство"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1076,80</w:t>
            </w:r>
          </w:p>
        </w:tc>
      </w:tr>
      <w:tr w:rsidR="00FB626F" w:rsidRPr="00FB626F" w:rsidTr="00FB626F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от 07.05.2012 г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работники)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15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</w:t>
            </w:r>
            <w:r w:rsidR="0015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вошедшие в категории поимен</w:t>
            </w: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ованные в указах Президента от 07.05.2012 г</w:t>
            </w:r>
            <w:proofErr w:type="gramStart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совместители)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26F" w:rsidRPr="00FB626F" w:rsidTr="00FB626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37036,85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6F" w:rsidRPr="00FB626F" w:rsidRDefault="00FB626F" w:rsidP="00FB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2385,40</w:t>
            </w:r>
          </w:p>
        </w:tc>
      </w:tr>
    </w:tbl>
    <w:p w:rsidR="00E515D2" w:rsidRPr="00796BCD" w:rsidRDefault="00E515D2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717E9" w:rsidRPr="00796BCD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717E9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8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717E9" w:rsidRPr="00E515D2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17E9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B3" w:rsidRDefault="001552B3" w:rsidP="00A8593D">
      <w:pPr>
        <w:spacing w:after="0" w:line="240" w:lineRule="auto"/>
      </w:pPr>
      <w:r>
        <w:separator/>
      </w:r>
    </w:p>
  </w:endnote>
  <w:endnote w:type="continuationSeparator" w:id="0">
    <w:p w:rsidR="001552B3" w:rsidRDefault="001552B3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B3" w:rsidRDefault="001552B3" w:rsidP="00A8593D">
      <w:pPr>
        <w:spacing w:after="0" w:line="240" w:lineRule="auto"/>
      </w:pPr>
      <w:r>
        <w:separator/>
      </w:r>
    </w:p>
  </w:footnote>
  <w:footnote w:type="continuationSeparator" w:id="0">
    <w:p w:rsidR="001552B3" w:rsidRDefault="001552B3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D45"/>
    <w:rsid w:val="00035BB4"/>
    <w:rsid w:val="00036B6D"/>
    <w:rsid w:val="000416D8"/>
    <w:rsid w:val="00043FBC"/>
    <w:rsid w:val="00044E8A"/>
    <w:rsid w:val="00052A41"/>
    <w:rsid w:val="000532D2"/>
    <w:rsid w:val="000536A6"/>
    <w:rsid w:val="00053D2D"/>
    <w:rsid w:val="000571D3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A54BB"/>
    <w:rsid w:val="000A5764"/>
    <w:rsid w:val="000A7FC4"/>
    <w:rsid w:val="000B074B"/>
    <w:rsid w:val="000B1ED6"/>
    <w:rsid w:val="000B5652"/>
    <w:rsid w:val="000C0642"/>
    <w:rsid w:val="000C19F6"/>
    <w:rsid w:val="000D05D2"/>
    <w:rsid w:val="000D1C5D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103D36"/>
    <w:rsid w:val="00103F81"/>
    <w:rsid w:val="001105D5"/>
    <w:rsid w:val="0011342D"/>
    <w:rsid w:val="00121A1C"/>
    <w:rsid w:val="00124659"/>
    <w:rsid w:val="001262D5"/>
    <w:rsid w:val="00126AD7"/>
    <w:rsid w:val="0012738F"/>
    <w:rsid w:val="0012755B"/>
    <w:rsid w:val="00132147"/>
    <w:rsid w:val="0013301A"/>
    <w:rsid w:val="001479CE"/>
    <w:rsid w:val="00151324"/>
    <w:rsid w:val="0015165E"/>
    <w:rsid w:val="00152DD1"/>
    <w:rsid w:val="0015343F"/>
    <w:rsid w:val="0015383B"/>
    <w:rsid w:val="00153937"/>
    <w:rsid w:val="00154026"/>
    <w:rsid w:val="001552B3"/>
    <w:rsid w:val="00157FA4"/>
    <w:rsid w:val="00161C08"/>
    <w:rsid w:val="00162027"/>
    <w:rsid w:val="00162D8A"/>
    <w:rsid w:val="0016456C"/>
    <w:rsid w:val="00166980"/>
    <w:rsid w:val="00166C48"/>
    <w:rsid w:val="00176F6C"/>
    <w:rsid w:val="00177788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41C8"/>
    <w:rsid w:val="001C51AE"/>
    <w:rsid w:val="001D3DC1"/>
    <w:rsid w:val="001D4638"/>
    <w:rsid w:val="001D5AE5"/>
    <w:rsid w:val="001D755D"/>
    <w:rsid w:val="001E3AA9"/>
    <w:rsid w:val="001E52F2"/>
    <w:rsid w:val="001E5D59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1763E"/>
    <w:rsid w:val="00220190"/>
    <w:rsid w:val="00223163"/>
    <w:rsid w:val="00225D0B"/>
    <w:rsid w:val="0023488C"/>
    <w:rsid w:val="002364B3"/>
    <w:rsid w:val="002379A8"/>
    <w:rsid w:val="00237F99"/>
    <w:rsid w:val="00240440"/>
    <w:rsid w:val="00240AEE"/>
    <w:rsid w:val="0024196E"/>
    <w:rsid w:val="00243BA4"/>
    <w:rsid w:val="00244C90"/>
    <w:rsid w:val="00251F79"/>
    <w:rsid w:val="002523A3"/>
    <w:rsid w:val="00253716"/>
    <w:rsid w:val="00262B0E"/>
    <w:rsid w:val="002635AA"/>
    <w:rsid w:val="002717E9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300B5A"/>
    <w:rsid w:val="00301D6C"/>
    <w:rsid w:val="00303826"/>
    <w:rsid w:val="00306321"/>
    <w:rsid w:val="00310DB4"/>
    <w:rsid w:val="0031184B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368E"/>
    <w:rsid w:val="0033568E"/>
    <w:rsid w:val="00346458"/>
    <w:rsid w:val="00350E04"/>
    <w:rsid w:val="00354FFE"/>
    <w:rsid w:val="00360EED"/>
    <w:rsid w:val="003626DA"/>
    <w:rsid w:val="00363D5F"/>
    <w:rsid w:val="003670B1"/>
    <w:rsid w:val="003731EC"/>
    <w:rsid w:val="00373A7E"/>
    <w:rsid w:val="003816A0"/>
    <w:rsid w:val="00381C34"/>
    <w:rsid w:val="00382270"/>
    <w:rsid w:val="00383DE4"/>
    <w:rsid w:val="00384A08"/>
    <w:rsid w:val="003868AC"/>
    <w:rsid w:val="00392CD9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400C6"/>
    <w:rsid w:val="00455EF1"/>
    <w:rsid w:val="00457524"/>
    <w:rsid w:val="00457CC5"/>
    <w:rsid w:val="00460722"/>
    <w:rsid w:val="00462831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D7C67"/>
    <w:rsid w:val="004E2A1A"/>
    <w:rsid w:val="004E3DFF"/>
    <w:rsid w:val="004E6693"/>
    <w:rsid w:val="004F59DF"/>
    <w:rsid w:val="00502F75"/>
    <w:rsid w:val="0050589C"/>
    <w:rsid w:val="005069AF"/>
    <w:rsid w:val="00510296"/>
    <w:rsid w:val="00514217"/>
    <w:rsid w:val="0051505B"/>
    <w:rsid w:val="005170BE"/>
    <w:rsid w:val="005204FB"/>
    <w:rsid w:val="00522EFB"/>
    <w:rsid w:val="00525632"/>
    <w:rsid w:val="005256DE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34D8"/>
    <w:rsid w:val="00574914"/>
    <w:rsid w:val="00575B67"/>
    <w:rsid w:val="00583789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7A73"/>
    <w:rsid w:val="005D7ACE"/>
    <w:rsid w:val="005E0285"/>
    <w:rsid w:val="005E5EB3"/>
    <w:rsid w:val="005E7015"/>
    <w:rsid w:val="005F027C"/>
    <w:rsid w:val="005F3393"/>
    <w:rsid w:val="005F6225"/>
    <w:rsid w:val="00600729"/>
    <w:rsid w:val="00600837"/>
    <w:rsid w:val="00601D2B"/>
    <w:rsid w:val="00603239"/>
    <w:rsid w:val="00610A73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1A51"/>
    <w:rsid w:val="00665477"/>
    <w:rsid w:val="006705E8"/>
    <w:rsid w:val="00672BA4"/>
    <w:rsid w:val="006762A9"/>
    <w:rsid w:val="00677903"/>
    <w:rsid w:val="00680B6E"/>
    <w:rsid w:val="00683D9A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055"/>
    <w:rsid w:val="006B1130"/>
    <w:rsid w:val="006B6928"/>
    <w:rsid w:val="006C0C99"/>
    <w:rsid w:val="006C3A94"/>
    <w:rsid w:val="006C4761"/>
    <w:rsid w:val="006C5DCA"/>
    <w:rsid w:val="006D4103"/>
    <w:rsid w:val="006E0441"/>
    <w:rsid w:val="006E1103"/>
    <w:rsid w:val="006E1296"/>
    <w:rsid w:val="006E4510"/>
    <w:rsid w:val="006E573F"/>
    <w:rsid w:val="006E5C44"/>
    <w:rsid w:val="006E605C"/>
    <w:rsid w:val="006E67D1"/>
    <w:rsid w:val="006F2EB0"/>
    <w:rsid w:val="006F7C9A"/>
    <w:rsid w:val="007005A3"/>
    <w:rsid w:val="0070342A"/>
    <w:rsid w:val="00710200"/>
    <w:rsid w:val="00711770"/>
    <w:rsid w:val="007119FC"/>
    <w:rsid w:val="00711F28"/>
    <w:rsid w:val="007127F5"/>
    <w:rsid w:val="0071497A"/>
    <w:rsid w:val="00715582"/>
    <w:rsid w:val="00717381"/>
    <w:rsid w:val="00721828"/>
    <w:rsid w:val="00721F72"/>
    <w:rsid w:val="00724B80"/>
    <w:rsid w:val="007270A4"/>
    <w:rsid w:val="00734FC3"/>
    <w:rsid w:val="0073502E"/>
    <w:rsid w:val="00735AAC"/>
    <w:rsid w:val="00736761"/>
    <w:rsid w:val="007368B9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15B8"/>
    <w:rsid w:val="00771B48"/>
    <w:rsid w:val="00774011"/>
    <w:rsid w:val="0077679B"/>
    <w:rsid w:val="00776B16"/>
    <w:rsid w:val="00784178"/>
    <w:rsid w:val="00790F67"/>
    <w:rsid w:val="00791814"/>
    <w:rsid w:val="00793214"/>
    <w:rsid w:val="00796BCD"/>
    <w:rsid w:val="0079745A"/>
    <w:rsid w:val="007A608C"/>
    <w:rsid w:val="007B1D90"/>
    <w:rsid w:val="007B633A"/>
    <w:rsid w:val="007C16C5"/>
    <w:rsid w:val="007C64A8"/>
    <w:rsid w:val="007C6EC8"/>
    <w:rsid w:val="007C77AC"/>
    <w:rsid w:val="007D5339"/>
    <w:rsid w:val="007D71CE"/>
    <w:rsid w:val="007D77C0"/>
    <w:rsid w:val="007E0D67"/>
    <w:rsid w:val="007E1828"/>
    <w:rsid w:val="007E34EC"/>
    <w:rsid w:val="007E4695"/>
    <w:rsid w:val="007E6340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B99"/>
    <w:rsid w:val="00800D27"/>
    <w:rsid w:val="008014C9"/>
    <w:rsid w:val="0080449A"/>
    <w:rsid w:val="00805B46"/>
    <w:rsid w:val="00814B29"/>
    <w:rsid w:val="0081578C"/>
    <w:rsid w:val="0082070D"/>
    <w:rsid w:val="00821707"/>
    <w:rsid w:val="00824310"/>
    <w:rsid w:val="008251F5"/>
    <w:rsid w:val="00827990"/>
    <w:rsid w:val="008319DB"/>
    <w:rsid w:val="00832AF3"/>
    <w:rsid w:val="00835C70"/>
    <w:rsid w:val="00840BD4"/>
    <w:rsid w:val="008417CB"/>
    <w:rsid w:val="0084225C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34BB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60D7"/>
    <w:rsid w:val="008D0440"/>
    <w:rsid w:val="008D0F3D"/>
    <w:rsid w:val="008D4A26"/>
    <w:rsid w:val="008D6ED5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8A8"/>
    <w:rsid w:val="00930FB0"/>
    <w:rsid w:val="009326A3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7BC6"/>
    <w:rsid w:val="009803EB"/>
    <w:rsid w:val="00980A89"/>
    <w:rsid w:val="00985E02"/>
    <w:rsid w:val="00986EE1"/>
    <w:rsid w:val="00992CF6"/>
    <w:rsid w:val="00993648"/>
    <w:rsid w:val="00997045"/>
    <w:rsid w:val="009A0EBD"/>
    <w:rsid w:val="009A3881"/>
    <w:rsid w:val="009A411D"/>
    <w:rsid w:val="009A4B7A"/>
    <w:rsid w:val="009A4F67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4AF1"/>
    <w:rsid w:val="009F55F4"/>
    <w:rsid w:val="009F6672"/>
    <w:rsid w:val="009F7072"/>
    <w:rsid w:val="00A01042"/>
    <w:rsid w:val="00A0517B"/>
    <w:rsid w:val="00A1055C"/>
    <w:rsid w:val="00A14EC7"/>
    <w:rsid w:val="00A15EE8"/>
    <w:rsid w:val="00A20480"/>
    <w:rsid w:val="00A24AF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5DDF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C25DB"/>
    <w:rsid w:val="00AC290D"/>
    <w:rsid w:val="00AC6DF4"/>
    <w:rsid w:val="00AD073D"/>
    <w:rsid w:val="00AD0A42"/>
    <w:rsid w:val="00AD2727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373AE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11D4"/>
    <w:rsid w:val="00B63098"/>
    <w:rsid w:val="00B63348"/>
    <w:rsid w:val="00B67B94"/>
    <w:rsid w:val="00B71C6A"/>
    <w:rsid w:val="00B74ADD"/>
    <w:rsid w:val="00B75694"/>
    <w:rsid w:val="00B76546"/>
    <w:rsid w:val="00B77725"/>
    <w:rsid w:val="00B82BBC"/>
    <w:rsid w:val="00B84BA1"/>
    <w:rsid w:val="00B90571"/>
    <w:rsid w:val="00B97A64"/>
    <w:rsid w:val="00BA0669"/>
    <w:rsid w:val="00BA0D60"/>
    <w:rsid w:val="00BA1024"/>
    <w:rsid w:val="00BA3980"/>
    <w:rsid w:val="00BA4B7B"/>
    <w:rsid w:val="00BA6FCF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31"/>
    <w:rsid w:val="00C3604E"/>
    <w:rsid w:val="00C40771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0E8B"/>
    <w:rsid w:val="00C7125D"/>
    <w:rsid w:val="00C73188"/>
    <w:rsid w:val="00C757CA"/>
    <w:rsid w:val="00C768A1"/>
    <w:rsid w:val="00C837F8"/>
    <w:rsid w:val="00C845A6"/>
    <w:rsid w:val="00C87268"/>
    <w:rsid w:val="00C907DF"/>
    <w:rsid w:val="00C915A0"/>
    <w:rsid w:val="00C92684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D7CCB"/>
    <w:rsid w:val="00CE1BCD"/>
    <w:rsid w:val="00CE1FBD"/>
    <w:rsid w:val="00CE289C"/>
    <w:rsid w:val="00CE3F1E"/>
    <w:rsid w:val="00CE4990"/>
    <w:rsid w:val="00CE4A58"/>
    <w:rsid w:val="00CE50D5"/>
    <w:rsid w:val="00CE63CE"/>
    <w:rsid w:val="00CE795B"/>
    <w:rsid w:val="00CF022B"/>
    <w:rsid w:val="00CF2AFB"/>
    <w:rsid w:val="00CF3C59"/>
    <w:rsid w:val="00CF642F"/>
    <w:rsid w:val="00D01FEB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72243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96D8E"/>
    <w:rsid w:val="00DA19A9"/>
    <w:rsid w:val="00DA35FC"/>
    <w:rsid w:val="00DA5EC1"/>
    <w:rsid w:val="00DA6B8E"/>
    <w:rsid w:val="00DA6CDC"/>
    <w:rsid w:val="00DB0068"/>
    <w:rsid w:val="00DB32F7"/>
    <w:rsid w:val="00DB6131"/>
    <w:rsid w:val="00DC12EE"/>
    <w:rsid w:val="00DC5786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DF7DD7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688D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66E"/>
    <w:rsid w:val="00E67D72"/>
    <w:rsid w:val="00E71554"/>
    <w:rsid w:val="00E734CB"/>
    <w:rsid w:val="00E760CF"/>
    <w:rsid w:val="00E764FD"/>
    <w:rsid w:val="00E8037C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7958"/>
    <w:rsid w:val="00F11991"/>
    <w:rsid w:val="00F148C6"/>
    <w:rsid w:val="00F245E3"/>
    <w:rsid w:val="00F27A5F"/>
    <w:rsid w:val="00F322DD"/>
    <w:rsid w:val="00F32E4C"/>
    <w:rsid w:val="00F33C63"/>
    <w:rsid w:val="00F34C95"/>
    <w:rsid w:val="00F36338"/>
    <w:rsid w:val="00F3759C"/>
    <w:rsid w:val="00F37D05"/>
    <w:rsid w:val="00F40452"/>
    <w:rsid w:val="00F40495"/>
    <w:rsid w:val="00F41267"/>
    <w:rsid w:val="00F43F54"/>
    <w:rsid w:val="00F441C7"/>
    <w:rsid w:val="00F44304"/>
    <w:rsid w:val="00F44C72"/>
    <w:rsid w:val="00F455D9"/>
    <w:rsid w:val="00F52E40"/>
    <w:rsid w:val="00F65310"/>
    <w:rsid w:val="00F70A09"/>
    <w:rsid w:val="00F74D6A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6485"/>
    <w:rsid w:val="00FA6A17"/>
    <w:rsid w:val="00FA720F"/>
    <w:rsid w:val="00FB3B42"/>
    <w:rsid w:val="00FB602D"/>
    <w:rsid w:val="00FB626F"/>
    <w:rsid w:val="00FC066E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B611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611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11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611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11D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611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1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11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1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11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1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79">
    <w:name w:val="xl79"/>
    <w:basedOn w:val="a"/>
    <w:rsid w:val="00B611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xl80">
    <w:name w:val="xl80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11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1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1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AE03-D7EA-46A8-8E96-97E79BC8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78</Pages>
  <Words>19129</Words>
  <Characters>109040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2022-11-29T03:03:00Z</cp:lastPrinted>
  <dcterms:created xsi:type="dcterms:W3CDTF">2021-11-13T12:11:00Z</dcterms:created>
  <dcterms:modified xsi:type="dcterms:W3CDTF">2022-12-07T10:04:00Z</dcterms:modified>
</cp:coreProperties>
</file>